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9.png" ContentType="image/png"/>
  <Override PartName="/word/media/rId84.png" ContentType="image/png"/>
  <Override PartName="/word/media/rId83.png" ContentType="image/png"/>
  <Override PartName="/word/media/rId86.png" ContentType="image/png"/>
  <Override PartName="/word/media/rId87.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20</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however, due to budget constraints the spring 2021 effort was conducted over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ineffective methods were abandoned in subsequent years.</w:t>
      </w:r>
      <w:r>
        <w:t xml:space="preserve"> </w:t>
      </w:r>
      <w:r>
        <w:t xml:space="preserve">After evaluating all methods, angling proved to be the most effective method for capturing piscine predators while minimizing potential impacts to ESA-listed steelhead.</w:t>
      </w:r>
      <w:r>
        <w:t xml:space="preserve"> </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abundance estimators were employed to explore variation in estimates. Estimators fell into two broad categories: single-census and multiple-census. For the single-census estimators, we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number is the total number of fish marked and returned to the population during the first week of sampling (mark event),</w:t>
      </w:r>
      <w:r>
        <w:t xml:space="preserve"> </w:t>
      </w:r>
      <m:oMath>
        <m:r>
          <m:t>n</m:t>
        </m:r>
      </m:oMath>
      <w:r>
        <w:t xml:space="preserve"> </w:t>
      </w:r>
      <w:r>
        <w:t xml:space="preserve">is the total number of fish caught in the second week (recapture event), and</w:t>
      </w:r>
      <w:r>
        <w:t xml:space="preserve"> </w:t>
      </w:r>
      <m:oMath>
        <m:r>
          <m:t>m</m:t>
        </m:r>
      </m:oMath>
      <w:r>
        <w:t xml:space="preserve"> </w:t>
      </w:r>
      <w:r>
        <w:t xml:space="preserve">is the number of marked fish caught during the recapture event.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the sampling occassion,</w:t>
      </w:r>
      <w:r>
        <w:t xml:space="preserve"> </w:t>
      </w:r>
      <m:oMath>
        <m:r>
          <m:t>i</m:t>
        </m:r>
      </m:oMath>
      <w:r>
        <w:t xml:space="preserve">. Here,</w:t>
      </w:r>
      <w:r>
        <w:t xml:space="preserve"> </w:t>
      </w:r>
      <m:oMath>
        <m:r>
          <m:t>i</m:t>
        </m:r>
      </m:oMath>
      <w:r>
        <w:t xml:space="preserve"> </w:t>
      </w:r>
      <w:r>
        <w:t xml:space="preserve">is defined as each sampling day. The Schnabel estimator does not have an associated standard error; however, the 90%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to estimate the abundance of Northern Pikeminnow during spring 2021, which was not a mark-recapture design, we used the ratio of total CPUE in the fall sampling events to the total CPUE in the spring sampling event, then multiplied that ratio by the average abundance from the fall sampling events.</w:t>
      </w:r>
      <w:r>
        <w:t xml:space="preserve"> </w:t>
      </w:r>
      <w:r>
        <w:t xml:space="preserve">This approach assumes equal capture probabilities between the fall and spring capture events.</w:t>
      </w:r>
      <w:r>
        <w:t xml:space="preserve"> </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t>
      </w:r>
      <w:r>
        <w:t xml:space="preserve">and 3,000 J/g for invertebrates. Additional settings included 0% assumed indigestible prety, and a variation in the proportion of diet that was invertebrates or fish ranging from 10% to 90% for both categories.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 in R</w:t>
      </w:r>
      <w:r>
        <w:t xml:space="preserve"> </w:t>
      </w:r>
      <w:r>
        <w:t xml:space="preserve">(Ogle et al. 2021)</w:t>
      </w:r>
      <w:r>
        <w:t xml:space="preserve">. The average length of Northern Pikeminnow captured at the Deadwater Slough during the spring and fall were 352.9 and 393.7 mm, respectively, which calculates to average starting weights of 504.4 and 670.5 g.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multiplied the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captured at six rotary screw traps throughout the operation season March to November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50%. In other words, 50% of captured fish were over the quality size classification of 380 mm TL, demonstrating that a high percentage of Northern Pikeminnow within Deadwater Slough are above average size classes defined for the species</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OAA2017"/>
    <w:p>
      <w:pPr>
        <w:pStyle w:val="Bibliography"/>
      </w:pPr>
      <w:r>
        <w:t xml:space="preserve">National Oceanic and Atmospheric Administration.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4"/>
    <w:bookmarkStart w:id="65"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5"/>
    <w:bookmarkStart w:id="66"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6"/>
    <w:bookmarkStart w:id="67"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7"/>
    <w:bookmarkStart w:id="68"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8"/>
    <w:bookmarkStart w:id="69"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9"/>
    <w:bookmarkStart w:id="70"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0"/>
    <w:bookmarkStart w:id="71"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1"/>
    <w:bookmarkStart w:id="72"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1"/>
    <w:bookmarkStart w:id="91"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0" w:name="colophon"/>
    <w:p>
      <w:pPr>
        <w:pStyle w:val="Heading3"/>
      </w:pPr>
      <w:r>
        <w:t xml:space="preserve">Colophon</w:t>
      </w:r>
    </w:p>
    <w:p>
      <w:pPr>
        <w:pStyle w:val="FirstParagraph"/>
      </w:pPr>
      <w:r>
        <w:t xml:space="preserve">This report was generated on 2021-12-20 15:48:00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[803a170] 2021-12-20: edits to abundance &amp; gastric methods</w:t>
      </w:r>
    </w:p>
    <w:bookmarkEnd w:id="90"/>
    <w:bookmarkEnd w:id="9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2021-12-20T22:48:02Z</dcterms:created>
  <dcterms:modified xsi:type="dcterms:W3CDTF">2021-12-20T22:48:02Z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